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A06E5"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p>
    <w:p w14:paraId="7C972CD2" w14:textId="77777777" w:rsidR="00E33096" w:rsidRPr="00E33096" w:rsidRDefault="00E33096" w:rsidP="00E33096">
      <w:pPr>
        <w:spacing w:before="0" w:after="60" w:line="276" w:lineRule="auto"/>
        <w:rPr>
          <w:rFonts w:ascii="Lato" w:eastAsia="Aptos" w:hAnsi="Lato" w:cs="Arial"/>
          <w:b/>
          <w:bCs/>
          <w:kern w:val="2"/>
          <w:sz w:val="22"/>
          <w:szCs w:val="22"/>
          <w14:ligatures w14:val="standardContextual"/>
        </w:rPr>
      </w:pPr>
      <w:r w:rsidRPr="00E33096">
        <w:rPr>
          <w:rFonts w:ascii="Lato" w:eastAsia="Aptos" w:hAnsi="Lato" w:cs="Arial"/>
          <w:b/>
          <w:bCs/>
          <w:kern w:val="2"/>
          <w:sz w:val="22"/>
          <w:szCs w:val="22"/>
          <w14:ligatures w14:val="standardContextual"/>
        </w:rPr>
        <w:t>UZASADNIENIE BRAKU PODZIAŁU ZAMÓWIENIA NA CZĘŚCI</w:t>
      </w:r>
    </w:p>
    <w:p w14:paraId="4E9F65E1"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p>
    <w:p w14:paraId="541450AA"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Zamawiający uzasadnia przeprowadzenie jednego postępowania obejmującego kompleksową realizację zadania pn. „Wzmocnienie </w:t>
      </w:r>
      <w:proofErr w:type="spellStart"/>
      <w:r w:rsidRPr="00E33096">
        <w:rPr>
          <w:rFonts w:ascii="Lato" w:eastAsia="Aptos" w:hAnsi="Lato" w:cs="Arial"/>
          <w:kern w:val="2"/>
          <w:sz w:val="22"/>
          <w:szCs w:val="22"/>
          <w14:ligatures w14:val="standardContextual"/>
        </w:rPr>
        <w:t>cyberodporności</w:t>
      </w:r>
      <w:proofErr w:type="spellEnd"/>
      <w:r w:rsidRPr="00E33096">
        <w:rPr>
          <w:rFonts w:ascii="Lato" w:eastAsia="Aptos" w:hAnsi="Lato" w:cs="Arial"/>
          <w:kern w:val="2"/>
          <w:sz w:val="22"/>
          <w:szCs w:val="22"/>
          <w14:ligatures w14:val="standardContextual"/>
        </w:rPr>
        <w:t xml:space="preserve"> przedsiębiorstwa oraz ciągłości działania w Przedsiębiorstwie Komunalnym w Wieruszowie S.A.”, w tym dostawy i wdrożenie sprzętu informatycznego wraz z oprogramowaniem oraz realizację usług z zakresu </w:t>
      </w:r>
      <w:proofErr w:type="spellStart"/>
      <w:r w:rsidRPr="00E33096">
        <w:rPr>
          <w:rFonts w:ascii="Lato" w:eastAsia="Aptos" w:hAnsi="Lato" w:cs="Arial"/>
          <w:kern w:val="2"/>
          <w:sz w:val="22"/>
          <w:szCs w:val="22"/>
          <w14:ligatures w14:val="standardContextual"/>
        </w:rPr>
        <w:t>cyberbezpieczeństwa</w:t>
      </w:r>
      <w:proofErr w:type="spellEnd"/>
      <w:r w:rsidRPr="00E33096">
        <w:rPr>
          <w:rFonts w:ascii="Lato" w:eastAsia="Aptos" w:hAnsi="Lato" w:cs="Arial"/>
          <w:kern w:val="2"/>
          <w:sz w:val="22"/>
          <w:szCs w:val="22"/>
          <w14:ligatures w14:val="standardContextual"/>
        </w:rPr>
        <w:t xml:space="preserve"> (w tym audyt, szkolenia, Polityka bezpieczeństwa), zgodnie z wymaganiami dyrektywy NIS2, ze względu na integralny charakter wszystkich elementów zamówienia oraz ich ścisłe powiązania funkcjonalne, technologiczne i organizacyjne. </w:t>
      </w:r>
    </w:p>
    <w:p w14:paraId="2A676120"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Zakres zamówienia obejmuje zarówno budowę i modernizację infrastruktury technicznej </w:t>
      </w:r>
      <w:r w:rsidRPr="00E33096">
        <w:rPr>
          <w:rFonts w:ascii="Lato" w:eastAsia="Aptos" w:hAnsi="Lato" w:cs="Arial"/>
          <w:kern w:val="2"/>
          <w:sz w:val="22"/>
          <w:szCs w:val="22"/>
          <w14:ligatures w14:val="standardContextual"/>
        </w:rPr>
        <w:br/>
        <w:t xml:space="preserve">(w tym klastra wysokiej dostępności HA, systemów backupu, </w:t>
      </w:r>
      <w:proofErr w:type="spellStart"/>
      <w:r w:rsidRPr="00E33096">
        <w:rPr>
          <w:rFonts w:ascii="Lato" w:eastAsia="Aptos" w:hAnsi="Lato" w:cs="Arial"/>
          <w:kern w:val="2"/>
          <w:sz w:val="22"/>
          <w:szCs w:val="22"/>
          <w14:ligatures w14:val="standardContextual"/>
        </w:rPr>
        <w:t>storage</w:t>
      </w:r>
      <w:proofErr w:type="spellEnd"/>
      <w:r w:rsidRPr="00E33096">
        <w:rPr>
          <w:rFonts w:ascii="Lato" w:eastAsia="Aptos" w:hAnsi="Lato" w:cs="Arial"/>
          <w:kern w:val="2"/>
          <w:sz w:val="22"/>
          <w:szCs w:val="22"/>
          <w14:ligatures w14:val="standardContextual"/>
        </w:rPr>
        <w:t xml:space="preserve">, rozwiązań sieciowych </w:t>
      </w:r>
      <w:r w:rsidRPr="00E33096">
        <w:rPr>
          <w:rFonts w:ascii="Lato" w:eastAsia="Aptos" w:hAnsi="Lato" w:cs="Arial"/>
          <w:kern w:val="2"/>
          <w:sz w:val="22"/>
          <w:szCs w:val="22"/>
          <w14:ligatures w14:val="standardContextual"/>
        </w:rPr>
        <w:br/>
        <w:t>i bezpieczeństwa, systemów klasy SIEM, IDS/IPS, DLP, EDR, MDM, NGFW), jak i wdrożenia zaawansowanych mechanizmów ochrony środowisk IT/OT/ICS/</w:t>
      </w:r>
      <w:proofErr w:type="spellStart"/>
      <w:r w:rsidRPr="00E33096">
        <w:rPr>
          <w:rFonts w:ascii="Lato" w:eastAsia="Aptos" w:hAnsi="Lato" w:cs="Arial"/>
          <w:kern w:val="2"/>
          <w:sz w:val="22"/>
          <w:szCs w:val="22"/>
          <w14:ligatures w14:val="standardContextual"/>
        </w:rPr>
        <w:t>IIoT</w:t>
      </w:r>
      <w:proofErr w:type="spellEnd"/>
      <w:r w:rsidRPr="00E33096">
        <w:rPr>
          <w:rFonts w:ascii="Lato" w:eastAsia="Aptos" w:hAnsi="Lato" w:cs="Arial"/>
          <w:kern w:val="2"/>
          <w:sz w:val="22"/>
          <w:szCs w:val="22"/>
          <w14:ligatures w14:val="standardContextual"/>
        </w:rPr>
        <w:t xml:space="preserve">, a także ustanowienie </w:t>
      </w:r>
      <w:r w:rsidRPr="00E33096">
        <w:rPr>
          <w:rFonts w:ascii="Lato" w:eastAsia="Aptos" w:hAnsi="Lato" w:cs="Arial"/>
          <w:kern w:val="2"/>
          <w:sz w:val="22"/>
          <w:szCs w:val="22"/>
          <w14:ligatures w14:val="standardContextual"/>
        </w:rPr>
        <w:br/>
        <w:t xml:space="preserve">i rozwój procesów zarządzania bezpieczeństwem informacji i ciągłością działania (SZBI, SZCD), realizację audytów oraz przeprowadzenie specjalistycznych szkoleń dla personelu. Wszystkie te elementy stanowią jeden spójny system bezpieczeństwa organizacji, którego skuteczność zależy od ich wzajemnej integracji i kompatybilności. Infrastruktura sprzętowa stanowi podstawę zapewnienia ciągłości działania systemów teleinformatycznych, natomiast działania związane z SZBI i SZCD, w tym audyt, aktualizacja dokumentacji oraz szkolenia, zapewniają właściwe zarządzanie bezpieczeństwem tej infrastruktury. Realizacja wszystkich elementów zamówienia przez jednego wykonawcę gwarantuje spójność wdrażanych rozwiązań oraz pełne dostosowanie dokumentacji bezpieczeństwa do faktycznie zastosowanej architektury systemowej, w szczególności w zakresie integracji infrastruktury systemowej, systemów backupu, narzędzi monitoringu i wykrywania zagrożeń oraz polityk bezpieczeństwa. </w:t>
      </w:r>
    </w:p>
    <w:p w14:paraId="5B05DA85"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Węzły klastra HA oraz oprogramowanie </w:t>
      </w:r>
      <w:proofErr w:type="spellStart"/>
      <w:r w:rsidRPr="00E33096">
        <w:rPr>
          <w:rFonts w:ascii="Lato" w:eastAsia="Aptos" w:hAnsi="Lato" w:cs="Arial"/>
          <w:kern w:val="2"/>
          <w:sz w:val="22"/>
          <w:szCs w:val="22"/>
          <w14:ligatures w14:val="standardContextual"/>
        </w:rPr>
        <w:t>wirtualizacyjne</w:t>
      </w:r>
      <w:proofErr w:type="spellEnd"/>
      <w:r w:rsidRPr="00E33096">
        <w:rPr>
          <w:rFonts w:ascii="Lato" w:eastAsia="Aptos" w:hAnsi="Lato" w:cs="Arial"/>
          <w:kern w:val="2"/>
          <w:sz w:val="22"/>
          <w:szCs w:val="22"/>
          <w14:ligatures w14:val="standardContextual"/>
        </w:rPr>
        <w:t xml:space="preserve"> stanowią element infrastruktury krytycznej organizacji Zamawiającego, na której opierać się będzie funkcjonowanie usług kluczowych, systemów przetwarzania danych oraz systemów bezpieczeństwa informacyjnego. Aby środowisko było zgodne z wymaganiami normy ISO/IEC 27001 oraz zasadami dobrych praktyk (np. bezpieczeństwa w cyklu życia systemu IT), konieczne jest zapewnienie, aby:</w:t>
      </w:r>
    </w:p>
    <w:p w14:paraId="0A9D0E9D" w14:textId="77777777" w:rsidR="00E33096" w:rsidRPr="00E33096" w:rsidRDefault="00E33096" w:rsidP="00E33096">
      <w:pPr>
        <w:numPr>
          <w:ilvl w:val="0"/>
          <w:numId w:val="18"/>
        </w:num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personel posiadał </w:t>
      </w:r>
      <w:r w:rsidRPr="00E33096">
        <w:rPr>
          <w:rFonts w:ascii="Lato" w:eastAsia="Aptos" w:hAnsi="Lato" w:cs="Arial"/>
          <w:b/>
          <w:bCs/>
          <w:kern w:val="2"/>
          <w:sz w:val="22"/>
          <w:szCs w:val="22"/>
          <w14:ligatures w14:val="standardContextual"/>
        </w:rPr>
        <w:t xml:space="preserve">aktualną wiedzę w zakresie eksploatacji i zabezpieczenia środowiska </w:t>
      </w:r>
      <w:proofErr w:type="spellStart"/>
      <w:r w:rsidRPr="00E33096">
        <w:rPr>
          <w:rFonts w:ascii="Lato" w:eastAsia="Aptos" w:hAnsi="Lato" w:cs="Arial"/>
          <w:b/>
          <w:bCs/>
          <w:kern w:val="2"/>
          <w:sz w:val="22"/>
          <w:szCs w:val="22"/>
          <w14:ligatures w14:val="standardContextual"/>
        </w:rPr>
        <w:t>wirtualizacyjnego</w:t>
      </w:r>
      <w:proofErr w:type="spellEnd"/>
      <w:r w:rsidRPr="00E33096">
        <w:rPr>
          <w:rFonts w:ascii="Lato" w:eastAsia="Aptos" w:hAnsi="Lato" w:cs="Arial"/>
          <w:kern w:val="2"/>
          <w:sz w:val="22"/>
          <w:szCs w:val="22"/>
          <w14:ligatures w14:val="standardContextual"/>
        </w:rPr>
        <w:t>,</w:t>
      </w:r>
    </w:p>
    <w:p w14:paraId="46465EE6" w14:textId="77777777" w:rsidR="00E33096" w:rsidRPr="00E33096" w:rsidRDefault="00E33096" w:rsidP="00E33096">
      <w:pPr>
        <w:numPr>
          <w:ilvl w:val="0"/>
          <w:numId w:val="18"/>
        </w:num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użytkownicy i administratorzy byli świadomi zagrożeń wynikających z konfiguracji i utrzymania środowiska HA,</w:t>
      </w:r>
    </w:p>
    <w:p w14:paraId="14B36A6F" w14:textId="77777777" w:rsidR="00E33096" w:rsidRPr="00E33096" w:rsidRDefault="00E33096" w:rsidP="00E33096">
      <w:pPr>
        <w:numPr>
          <w:ilvl w:val="0"/>
          <w:numId w:val="18"/>
        </w:num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organizacja mogła prowadzić </w:t>
      </w:r>
      <w:r w:rsidRPr="00E33096">
        <w:rPr>
          <w:rFonts w:ascii="Lato" w:eastAsia="Aptos" w:hAnsi="Lato" w:cs="Arial"/>
          <w:b/>
          <w:bCs/>
          <w:kern w:val="2"/>
          <w:sz w:val="22"/>
          <w:szCs w:val="22"/>
          <w14:ligatures w14:val="standardContextual"/>
        </w:rPr>
        <w:t>ciągłe doskonalenie SZBI</w:t>
      </w:r>
      <w:r w:rsidRPr="00E33096">
        <w:rPr>
          <w:rFonts w:ascii="Lato" w:eastAsia="Aptos" w:hAnsi="Lato" w:cs="Arial"/>
          <w:kern w:val="2"/>
          <w:sz w:val="22"/>
          <w:szCs w:val="22"/>
          <w14:ligatures w14:val="standardContextual"/>
        </w:rPr>
        <w:t xml:space="preserve">, którego integralnym elementem jest infrastruktura serwerowa i </w:t>
      </w:r>
      <w:proofErr w:type="spellStart"/>
      <w:r w:rsidRPr="00E33096">
        <w:rPr>
          <w:rFonts w:ascii="Lato" w:eastAsia="Aptos" w:hAnsi="Lato" w:cs="Arial"/>
          <w:kern w:val="2"/>
          <w:sz w:val="22"/>
          <w:szCs w:val="22"/>
          <w14:ligatures w14:val="standardContextual"/>
        </w:rPr>
        <w:t>wirtualizacyjna</w:t>
      </w:r>
      <w:proofErr w:type="spellEnd"/>
      <w:r w:rsidRPr="00E33096">
        <w:rPr>
          <w:rFonts w:ascii="Lato" w:eastAsia="Aptos" w:hAnsi="Lato" w:cs="Arial"/>
          <w:kern w:val="2"/>
          <w:sz w:val="22"/>
          <w:szCs w:val="22"/>
          <w14:ligatures w14:val="standardContextual"/>
        </w:rPr>
        <w:t>,</w:t>
      </w:r>
    </w:p>
    <w:p w14:paraId="4206E5BD" w14:textId="77777777" w:rsidR="00E33096" w:rsidRPr="00E33096" w:rsidRDefault="00E33096" w:rsidP="00E33096">
      <w:pPr>
        <w:numPr>
          <w:ilvl w:val="0"/>
          <w:numId w:val="18"/>
        </w:numPr>
        <w:spacing w:before="0" w:after="60" w:line="276" w:lineRule="auto"/>
        <w:rPr>
          <w:rFonts w:ascii="Lato" w:hAnsi="Lato" w:cs="Segoe UI"/>
          <w:sz w:val="22"/>
          <w:szCs w:val="22"/>
          <w:lang w:eastAsia="pl-PL"/>
        </w:rPr>
      </w:pPr>
      <w:r w:rsidRPr="00E33096">
        <w:rPr>
          <w:rFonts w:ascii="Lato" w:hAnsi="Lato" w:cs="Segoe UI"/>
          <w:sz w:val="22"/>
          <w:szCs w:val="22"/>
          <w:lang w:eastAsia="pl-PL"/>
        </w:rPr>
        <w:t xml:space="preserve">kluczowy element infrastruktury umożliwiającej ciągłość działania systemów SZCD STI gwarantowały dostępność, odporność na awarie w tym, pomimo awarii, gwarantowały realizację procesów krytycznych w organizacji Zamawiającego, </w:t>
      </w:r>
    </w:p>
    <w:p w14:paraId="1DA84D18" w14:textId="77777777" w:rsidR="00E33096" w:rsidRPr="00E33096" w:rsidRDefault="00E33096" w:rsidP="00E33096">
      <w:pPr>
        <w:numPr>
          <w:ilvl w:val="0"/>
          <w:numId w:val="18"/>
        </w:numPr>
        <w:spacing w:before="0" w:after="60" w:line="276" w:lineRule="auto"/>
        <w:rPr>
          <w:rFonts w:ascii="Lato" w:hAnsi="Lato" w:cs="Segoe UI"/>
          <w:sz w:val="22"/>
          <w:szCs w:val="22"/>
          <w:lang w:eastAsia="pl-PL"/>
        </w:rPr>
      </w:pPr>
      <w:r w:rsidRPr="00E33096">
        <w:rPr>
          <w:rFonts w:ascii="Lato" w:hAnsi="Lato" w:cs="Segoe UI"/>
          <w:sz w:val="22"/>
          <w:szCs w:val="22"/>
          <w:lang w:eastAsia="pl-PL"/>
        </w:rPr>
        <w:t xml:space="preserve">gwarantowały zdolność do odtwarzania infrastruktury po awarii czy próbach naruszenia bezpieczeństwa, </w:t>
      </w:r>
    </w:p>
    <w:p w14:paraId="5CA2457E" w14:textId="77777777" w:rsidR="00E33096" w:rsidRPr="00E33096" w:rsidRDefault="00E33096" w:rsidP="00E33096">
      <w:pPr>
        <w:numPr>
          <w:ilvl w:val="0"/>
          <w:numId w:val="18"/>
        </w:numPr>
        <w:spacing w:before="0" w:after="60" w:line="276" w:lineRule="auto"/>
        <w:rPr>
          <w:rFonts w:ascii="Lato" w:hAnsi="Lato" w:cs="Segoe UI"/>
          <w:sz w:val="22"/>
          <w:szCs w:val="22"/>
          <w:lang w:eastAsia="pl-PL"/>
        </w:rPr>
      </w:pPr>
      <w:r w:rsidRPr="00E33096">
        <w:rPr>
          <w:rFonts w:ascii="Lato" w:hAnsi="Lato" w:cs="Segoe UI"/>
          <w:sz w:val="22"/>
          <w:szCs w:val="22"/>
          <w:lang w:eastAsia="pl-PL"/>
        </w:rPr>
        <w:lastRenderedPageBreak/>
        <w:t>sposób zarządzenia systemem bezpieczeństwa definiował i określał czas przywrócenia funkcji (RTO) i dopuszczalną utratę danych (RPO), skuteczność stosowanych planów ciągłości działania i procedur DRP.</w:t>
      </w:r>
    </w:p>
    <w:p w14:paraId="5850E051"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SZBI wymaga, aby wszystkie elementy środowiska IT – techniczne, organizacyjne i kompetencyjne – były spójne i aktualizowane w sposób skoordynowany. Szkolenia i działania doskonalące są więc </w:t>
      </w:r>
      <w:r w:rsidRPr="00E33096">
        <w:rPr>
          <w:rFonts w:ascii="Lato" w:eastAsia="Aptos" w:hAnsi="Lato" w:cs="Arial"/>
          <w:b/>
          <w:bCs/>
          <w:kern w:val="2"/>
          <w:sz w:val="22"/>
          <w:szCs w:val="22"/>
          <w14:ligatures w14:val="standardContextual"/>
        </w:rPr>
        <w:t>nierozerwalnie związane</w:t>
      </w:r>
      <w:r w:rsidRPr="00E33096">
        <w:rPr>
          <w:rFonts w:ascii="Lato" w:eastAsia="Aptos" w:hAnsi="Lato" w:cs="Arial"/>
          <w:kern w:val="2"/>
          <w:sz w:val="22"/>
          <w:szCs w:val="22"/>
          <w14:ligatures w14:val="standardContextual"/>
        </w:rPr>
        <w:t xml:space="preserve"> z wdrożeniem nowych komponentów technicznych. Wdrożenie klastra HA bez równoległego dostosowania SZCD prowadziłoby do niespójności pomiędzy rzeczywistymi możliwościami technicznymi a dokumentacją i procesami zarządczymi.</w:t>
      </w:r>
      <w:r w:rsidRPr="00E33096">
        <w:rPr>
          <w:rFonts w:ascii="Lato" w:hAnsi="Lato" w:cs="Segoe UI"/>
          <w:sz w:val="22"/>
          <w:szCs w:val="22"/>
          <w:lang w:eastAsia="pl-PL"/>
        </w:rPr>
        <w:t xml:space="preserve"> </w:t>
      </w:r>
      <w:r w:rsidRPr="00E33096">
        <w:rPr>
          <w:rFonts w:ascii="Lato" w:eastAsia="Aptos" w:hAnsi="Lato" w:cs="Arial"/>
          <w:kern w:val="2"/>
          <w:sz w:val="22"/>
          <w:szCs w:val="22"/>
          <w14:ligatures w14:val="standardContextual"/>
        </w:rPr>
        <w:t>Każde działanie w ramach SZCD wymaga praktycznej znajomości dostępnych funkcji wysokiej dostępności oraz ich wpływu na procesy operacyjne. Dlatego same dostawy sprzętu i oprogramowania nie zapewniają możliwości prawidłowego funkcjonowania SZCD bez: odpowiednio zaprojektowanych procedur, aktualizacji planów ciągłości działania, wyszkolenia osób odpowiedzialnych za utrzymanie procesów.</w:t>
      </w:r>
    </w:p>
    <w:p w14:paraId="31BA72B2"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Sprzęt komputerowy, oprogramowanie oraz analiza zabezpieczeń teleinformatycznych u Zamawiającego i skuteczne podnoszenie kompetencji pracowników Zamawiającego, łącznie stanowią integralny zestaw komponentów infrastruktury bezpieczeństwa, zaprojektowany do pracy jako jednolite, wzajemnie kompatybilne środowisko </w:t>
      </w:r>
      <w:proofErr w:type="spellStart"/>
      <w:r w:rsidRPr="00E33096">
        <w:rPr>
          <w:rFonts w:ascii="Lato" w:eastAsia="Aptos" w:hAnsi="Lato" w:cs="Arial"/>
          <w:kern w:val="2"/>
          <w:sz w:val="22"/>
          <w:szCs w:val="22"/>
          <w14:ligatures w14:val="standardContextual"/>
        </w:rPr>
        <w:t>wirtualizacyjne</w:t>
      </w:r>
      <w:proofErr w:type="spellEnd"/>
      <w:r w:rsidRPr="00E33096">
        <w:rPr>
          <w:rFonts w:ascii="Lato" w:eastAsia="Aptos" w:hAnsi="Lato" w:cs="Arial"/>
          <w:kern w:val="2"/>
          <w:sz w:val="22"/>
          <w:szCs w:val="22"/>
          <w14:ligatures w14:val="standardContextual"/>
        </w:rPr>
        <w:t xml:space="preserve"> klasy </w:t>
      </w:r>
      <w:proofErr w:type="spellStart"/>
      <w:r w:rsidRPr="00E33096">
        <w:rPr>
          <w:rFonts w:ascii="Lato" w:eastAsia="Aptos" w:hAnsi="Lato" w:cs="Arial"/>
          <w:kern w:val="2"/>
          <w:sz w:val="22"/>
          <w:szCs w:val="22"/>
          <w14:ligatures w14:val="standardContextual"/>
        </w:rPr>
        <w:t>enterprise</w:t>
      </w:r>
      <w:proofErr w:type="spellEnd"/>
      <w:r w:rsidRPr="00E33096">
        <w:rPr>
          <w:rFonts w:ascii="Lato" w:eastAsia="Aptos" w:hAnsi="Lato" w:cs="Arial"/>
          <w:kern w:val="2"/>
          <w:sz w:val="22"/>
          <w:szCs w:val="22"/>
          <w14:ligatures w14:val="standardContextual"/>
        </w:rPr>
        <w:t xml:space="preserve">. </w:t>
      </w:r>
      <w:r w:rsidRPr="00E33096">
        <w:rPr>
          <w:rFonts w:ascii="Lato" w:eastAsia="Aptos" w:hAnsi="Lato" w:cs="Arial"/>
          <w:kern w:val="2"/>
          <w:sz w:val="22"/>
          <w:szCs w:val="22"/>
          <w14:ligatures w14:val="standardContextual"/>
        </w:rPr>
        <w:br/>
        <w:t xml:space="preserve">Z uwagi na ścisłe zależności technologiczne, funkcjonalne i organizacyjne pomiędzy poszczególnymi warstwami systemu, Zamawiający wymaga dostawy kompletnego, skonfigurowanego i przetestowanego rozwiązania w formule „pod klucz” — obejmującego sprzęt serwerowy, pamięci masowe, infrastrukturę sieciową, warstwę </w:t>
      </w:r>
      <w:proofErr w:type="spellStart"/>
      <w:r w:rsidRPr="00E33096">
        <w:rPr>
          <w:rFonts w:ascii="Lato" w:eastAsia="Aptos" w:hAnsi="Lato" w:cs="Arial"/>
          <w:kern w:val="2"/>
          <w:sz w:val="22"/>
          <w:szCs w:val="22"/>
          <w14:ligatures w14:val="standardContextual"/>
        </w:rPr>
        <w:t>wirtualizacyjną</w:t>
      </w:r>
      <w:proofErr w:type="spellEnd"/>
      <w:r w:rsidRPr="00E33096">
        <w:rPr>
          <w:rFonts w:ascii="Lato" w:eastAsia="Aptos" w:hAnsi="Lato" w:cs="Arial"/>
          <w:kern w:val="2"/>
          <w:sz w:val="22"/>
          <w:szCs w:val="22"/>
          <w14:ligatures w14:val="standardContextual"/>
        </w:rPr>
        <w:t xml:space="preserve">, system operacyjny oraz usługi implementacyjne takie jak audyty oraz polityki bezpieczeństwa — jako jednej całości. </w:t>
      </w:r>
    </w:p>
    <w:p w14:paraId="58CEE663"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Projektowane środowisko </w:t>
      </w:r>
      <w:proofErr w:type="spellStart"/>
      <w:r w:rsidRPr="00E33096">
        <w:rPr>
          <w:rFonts w:ascii="Lato" w:eastAsia="Aptos" w:hAnsi="Lato" w:cs="Arial"/>
          <w:kern w:val="2"/>
          <w:sz w:val="22"/>
          <w:szCs w:val="22"/>
          <w14:ligatures w14:val="standardContextual"/>
        </w:rPr>
        <w:t>wirtualizacyjne</w:t>
      </w:r>
      <w:proofErr w:type="spellEnd"/>
      <w:r w:rsidRPr="00E33096">
        <w:rPr>
          <w:rFonts w:ascii="Lato" w:eastAsia="Aptos" w:hAnsi="Lato" w:cs="Arial"/>
          <w:kern w:val="2"/>
          <w:sz w:val="22"/>
          <w:szCs w:val="22"/>
          <w14:ligatures w14:val="standardContextual"/>
        </w:rPr>
        <w:t xml:space="preserve"> obejmujące całość przedmiotu zamówienia, musi spełniać wymagania zgodności (HCL — Hardware Compatibility List) dostawcy wybranej platformy wirtualizacji oraz systemów operacyjnych, co oznacza że tylko zakup całości pozwala na zachowanie zgodności ze standardami branżowymi i wymaganiami certyfikacyjnymi producentów oprogramowania i sprzętu. Dotyczy to zarówno zgodności sprzętowej (serwery, kontrolery dysków, interfejsy sieciowe) z oprogramowaniem </w:t>
      </w:r>
      <w:proofErr w:type="spellStart"/>
      <w:r w:rsidRPr="00E33096">
        <w:rPr>
          <w:rFonts w:ascii="Lato" w:eastAsia="Aptos" w:hAnsi="Lato" w:cs="Arial"/>
          <w:kern w:val="2"/>
          <w:sz w:val="22"/>
          <w:szCs w:val="22"/>
          <w14:ligatures w14:val="standardContextual"/>
        </w:rPr>
        <w:t>hypervisora</w:t>
      </w:r>
      <w:proofErr w:type="spellEnd"/>
      <w:r w:rsidRPr="00E33096">
        <w:rPr>
          <w:rFonts w:ascii="Lato" w:eastAsia="Aptos" w:hAnsi="Lato" w:cs="Arial"/>
          <w:kern w:val="2"/>
          <w:sz w:val="22"/>
          <w:szCs w:val="22"/>
          <w14:ligatures w14:val="standardContextual"/>
        </w:rPr>
        <w:t xml:space="preserve">, jak i wzajemnej kompatybilności komponentów </w:t>
      </w:r>
      <w:proofErr w:type="spellStart"/>
      <w:r w:rsidRPr="00E33096">
        <w:rPr>
          <w:rFonts w:ascii="Lato" w:eastAsia="Aptos" w:hAnsi="Lato" w:cs="Arial"/>
          <w:kern w:val="2"/>
          <w:sz w:val="22"/>
          <w:szCs w:val="22"/>
          <w14:ligatures w14:val="standardContextual"/>
        </w:rPr>
        <w:t>storage</w:t>
      </w:r>
      <w:proofErr w:type="spellEnd"/>
      <w:r w:rsidRPr="00E33096">
        <w:rPr>
          <w:rFonts w:ascii="Lato" w:eastAsia="Aptos" w:hAnsi="Lato" w:cs="Arial"/>
          <w:kern w:val="2"/>
          <w:sz w:val="22"/>
          <w:szCs w:val="22"/>
          <w14:ligatures w14:val="standardContextual"/>
        </w:rPr>
        <w:t xml:space="preserve">/sieciowych w topologii </w:t>
      </w:r>
      <w:proofErr w:type="spellStart"/>
      <w:r w:rsidRPr="00E33096">
        <w:rPr>
          <w:rFonts w:ascii="Lato" w:eastAsia="Aptos" w:hAnsi="Lato" w:cs="Arial"/>
          <w:kern w:val="2"/>
          <w:sz w:val="22"/>
          <w:szCs w:val="22"/>
          <w14:ligatures w14:val="standardContextual"/>
        </w:rPr>
        <w:t>redundatnej</w:t>
      </w:r>
      <w:proofErr w:type="spellEnd"/>
      <w:r w:rsidRPr="00E33096">
        <w:rPr>
          <w:rFonts w:ascii="Lato" w:eastAsia="Aptos" w:hAnsi="Lato" w:cs="Arial"/>
          <w:kern w:val="2"/>
          <w:sz w:val="22"/>
          <w:szCs w:val="22"/>
          <w14:ligatures w14:val="standardContextual"/>
        </w:rPr>
        <w:t xml:space="preserve">. Zakup odrębny elementów uniemożliwia zapewnienie: zgodności </w:t>
      </w:r>
      <w:proofErr w:type="spellStart"/>
      <w:r w:rsidRPr="00E33096">
        <w:rPr>
          <w:rFonts w:ascii="Lato" w:eastAsia="Aptos" w:hAnsi="Lato" w:cs="Arial"/>
          <w:kern w:val="2"/>
          <w:sz w:val="22"/>
          <w:szCs w:val="22"/>
          <w14:ligatures w14:val="standardContextual"/>
        </w:rPr>
        <w:t>firmware</w:t>
      </w:r>
      <w:proofErr w:type="spellEnd"/>
      <w:r w:rsidRPr="00E33096">
        <w:rPr>
          <w:rFonts w:ascii="Lato" w:eastAsia="Aptos" w:hAnsi="Lato" w:cs="Arial"/>
          <w:kern w:val="2"/>
          <w:sz w:val="22"/>
          <w:szCs w:val="22"/>
          <w14:ligatures w14:val="standardContextual"/>
        </w:rPr>
        <w:t xml:space="preserve"> i sterowników </w:t>
      </w:r>
      <w:r w:rsidRPr="00E33096">
        <w:rPr>
          <w:rFonts w:ascii="Lato" w:eastAsia="Aptos" w:hAnsi="Lato" w:cs="Arial"/>
          <w:kern w:val="2"/>
          <w:sz w:val="22"/>
          <w:szCs w:val="22"/>
          <w14:ligatures w14:val="standardContextual"/>
        </w:rPr>
        <w:br/>
        <w:t xml:space="preserve">z wersjami </w:t>
      </w:r>
      <w:proofErr w:type="spellStart"/>
      <w:r w:rsidRPr="00E33096">
        <w:rPr>
          <w:rFonts w:ascii="Lato" w:eastAsia="Aptos" w:hAnsi="Lato" w:cs="Arial"/>
          <w:kern w:val="2"/>
          <w:sz w:val="22"/>
          <w:szCs w:val="22"/>
          <w14:ligatures w14:val="standardContextual"/>
        </w:rPr>
        <w:t>hypervisora</w:t>
      </w:r>
      <w:proofErr w:type="spellEnd"/>
      <w:r w:rsidRPr="00E33096">
        <w:rPr>
          <w:rFonts w:ascii="Lato" w:eastAsia="Aptos" w:hAnsi="Lato" w:cs="Arial"/>
          <w:kern w:val="2"/>
          <w:sz w:val="22"/>
          <w:szCs w:val="22"/>
          <w14:ligatures w14:val="standardContextual"/>
        </w:rPr>
        <w:t xml:space="preserve">, czy spójności protokołów komunikacyjnych (FC, </w:t>
      </w:r>
      <w:proofErr w:type="spellStart"/>
      <w:r w:rsidRPr="00E33096">
        <w:rPr>
          <w:rFonts w:ascii="Lato" w:eastAsia="Aptos" w:hAnsi="Lato" w:cs="Arial"/>
          <w:kern w:val="2"/>
          <w:sz w:val="22"/>
          <w:szCs w:val="22"/>
          <w14:ligatures w14:val="standardContextual"/>
        </w:rPr>
        <w:t>iSCSI</w:t>
      </w:r>
      <w:proofErr w:type="spellEnd"/>
      <w:r w:rsidRPr="00E33096">
        <w:rPr>
          <w:rFonts w:ascii="Lato" w:eastAsia="Aptos" w:hAnsi="Lato" w:cs="Arial"/>
          <w:kern w:val="2"/>
          <w:sz w:val="22"/>
          <w:szCs w:val="22"/>
          <w14:ligatures w14:val="standardContextual"/>
        </w:rPr>
        <w:t xml:space="preserve">, </w:t>
      </w:r>
      <w:proofErr w:type="spellStart"/>
      <w:r w:rsidRPr="00E33096">
        <w:rPr>
          <w:rFonts w:ascii="Lato" w:eastAsia="Aptos" w:hAnsi="Lato" w:cs="Arial"/>
          <w:kern w:val="2"/>
          <w:sz w:val="22"/>
          <w:szCs w:val="22"/>
          <w14:ligatures w14:val="standardContextual"/>
        </w:rPr>
        <w:t>NVMe-oF</w:t>
      </w:r>
      <w:proofErr w:type="spellEnd"/>
      <w:r w:rsidRPr="00E33096">
        <w:rPr>
          <w:rFonts w:ascii="Lato" w:eastAsia="Aptos" w:hAnsi="Lato" w:cs="Arial"/>
          <w:kern w:val="2"/>
          <w:sz w:val="22"/>
          <w:szCs w:val="22"/>
          <w14:ligatures w14:val="standardContextual"/>
        </w:rPr>
        <w:t xml:space="preserve">, VLAN, LACP, STP) w warstwie sieciowej i </w:t>
      </w:r>
      <w:proofErr w:type="spellStart"/>
      <w:r w:rsidRPr="00E33096">
        <w:rPr>
          <w:rFonts w:ascii="Lato" w:eastAsia="Aptos" w:hAnsi="Lato" w:cs="Arial"/>
          <w:kern w:val="2"/>
          <w:sz w:val="22"/>
          <w:szCs w:val="22"/>
          <w14:ligatures w14:val="standardContextual"/>
        </w:rPr>
        <w:t>storage</w:t>
      </w:r>
      <w:proofErr w:type="spellEnd"/>
      <w:r w:rsidRPr="00E33096">
        <w:rPr>
          <w:rFonts w:ascii="Lato" w:eastAsia="Aptos" w:hAnsi="Lato" w:cs="Arial"/>
          <w:kern w:val="2"/>
          <w:sz w:val="22"/>
          <w:szCs w:val="22"/>
          <w14:ligatures w14:val="standardContextual"/>
        </w:rPr>
        <w:t>.</w:t>
      </w:r>
    </w:p>
    <w:p w14:paraId="146947FF"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Realizacja zamówienia jako całości umożliwia: łatwiejszą kontrolę jakości prac wykonywanych przez wykonawcę, sprawną integrację komponentów, jednolite wsparcie techniczne, funkcjonalne i organizacyjne na etapie utrzymania platformy witalizacyjnej w okresie po dostawie. Opisany powyżej przedmiot zamówienia obejmuje zakup sprzętu komputerowego oraz oprogramowania </w:t>
      </w:r>
      <w:proofErr w:type="spellStart"/>
      <w:r w:rsidRPr="00E33096">
        <w:rPr>
          <w:rFonts w:ascii="Lato" w:eastAsia="Aptos" w:hAnsi="Lato" w:cs="Arial"/>
          <w:kern w:val="2"/>
          <w:sz w:val="22"/>
          <w:szCs w:val="22"/>
          <w14:ligatures w14:val="standardContextual"/>
        </w:rPr>
        <w:t>wirtualizacyjnego</w:t>
      </w:r>
      <w:proofErr w:type="spellEnd"/>
      <w:r w:rsidRPr="00E33096">
        <w:rPr>
          <w:rFonts w:ascii="Lato" w:eastAsia="Aptos" w:hAnsi="Lato" w:cs="Arial"/>
          <w:kern w:val="2"/>
          <w:sz w:val="22"/>
          <w:szCs w:val="22"/>
          <w14:ligatures w14:val="standardContextual"/>
        </w:rPr>
        <w:t>, które musi tworzyć spójne, kompatybilne i wzajemnie zależne środowisko infrastrukturalne, służące podniesieniu poziomu bezpieczeństwa teleinformatycznego Zamawiającego.</w:t>
      </w:r>
    </w:p>
    <w:p w14:paraId="25FBC7EC"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Elementy te mają zostać zaimplementowane jako </w:t>
      </w:r>
      <w:r w:rsidRPr="00E33096">
        <w:rPr>
          <w:rFonts w:ascii="Lato" w:eastAsia="Aptos" w:hAnsi="Lato" w:cs="Arial"/>
          <w:b/>
          <w:bCs/>
          <w:kern w:val="2"/>
          <w:sz w:val="22"/>
          <w:szCs w:val="22"/>
          <w14:ligatures w14:val="standardContextual"/>
        </w:rPr>
        <w:t>jeden, współdziałający system</w:t>
      </w:r>
      <w:r w:rsidRPr="00E33096">
        <w:rPr>
          <w:rFonts w:ascii="Lato" w:eastAsia="Aptos" w:hAnsi="Lato" w:cs="Arial"/>
          <w:kern w:val="2"/>
          <w:sz w:val="22"/>
          <w:szCs w:val="22"/>
          <w14:ligatures w14:val="standardContextual"/>
        </w:rPr>
        <w:t>, dlatego ich wyodrębnienie do odrębnych części mogłoby:</w:t>
      </w:r>
    </w:p>
    <w:p w14:paraId="47316ABF" w14:textId="77777777" w:rsidR="00E33096" w:rsidRPr="00E33096" w:rsidRDefault="00E33096" w:rsidP="00E33096">
      <w:pPr>
        <w:numPr>
          <w:ilvl w:val="0"/>
          <w:numId w:val="19"/>
        </w:num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zaburzyć kompatybilność poszczególnych komponentów,</w:t>
      </w:r>
    </w:p>
    <w:p w14:paraId="4DD8FC33" w14:textId="77777777" w:rsidR="00E33096" w:rsidRPr="00E33096" w:rsidRDefault="00E33096" w:rsidP="00E33096">
      <w:pPr>
        <w:numPr>
          <w:ilvl w:val="0"/>
          <w:numId w:val="19"/>
        </w:num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spowodować trudności w integracji,</w:t>
      </w:r>
    </w:p>
    <w:p w14:paraId="18501010" w14:textId="77777777" w:rsidR="00E33096" w:rsidRPr="00E33096" w:rsidRDefault="00E33096" w:rsidP="00E33096">
      <w:pPr>
        <w:numPr>
          <w:ilvl w:val="0"/>
          <w:numId w:val="19"/>
        </w:num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lastRenderedPageBreak/>
        <w:t>zwiększyć ryzyko odpowiedzialności rozproszonej pomiędzy różnymi wykonawcami.</w:t>
      </w:r>
    </w:p>
    <w:p w14:paraId="5284FFFE"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Powierzenie jednemu Wykonawcy całości dostawy, konfiguracji oprogramowania i systemu witalizacyjnego oraz realizację polityki bezpieczeństwa, pozwala na jednoznaczne przypisanie odpowiedzialności za poprawne działanie środowiska i osiągnięcie wymaganych parametrów wydajności i niezawodności. Gdyby poszczególne elementy zamówienia lub usługi zostały zakupione od różnych dostawców, w przypadku problemów na etapie wdrożenia lub w okresie gwarancyjnym istniałoby ryzyko przerzucania się odpowiedzialnością między wykonawcami („winny jest sprzęt”, „winne jest oprogramowanie”, „winna jest konfiguracja”, „winne są niejednoznaczne procedury lub polityki”). Kompleksowa dostawa eliminuje to ryzyko.</w:t>
      </w:r>
    </w:p>
    <w:p w14:paraId="535D865E"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Zamawiane środowisko IT będzie objęte usługą gwarancyjną i serwisową producenta lub Wykonawcy całości dostawy. Taka usługa jest możliwa tylko w przypadku, gdy całość środowiska zostanie dostarczona jako jeden, spójny system spełniający wymagania certyfikacyjne producentów oprogramowania, sprzętu i wymagania przepisów dyrektywy NIS2, norm ISO. Zakup poszczególnych elementów od różnych Wykonawców mógłby skutkować utratą prawa do wsparcia lub wydłużeniem procesu serwisowego, a w najgorszym przypadku mógłby skutkować brakiem pewności co do bezpieczeństwa danych i sprzętu Zmawiającego.</w:t>
      </w:r>
    </w:p>
    <w:p w14:paraId="45F8AED9"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Powierzenie realizacji zamówienia jednemu wykonawcy umożliwia zapewnienie kompatybilności pomiędzy wdrażaną infrastrukturą a przyjętymi procedurami bezpieczeństwa, minimalizując ryzyko powstania niespójności, luk bezpieczeństwa (w tym obniżenie skuteczności ochrony) oraz problemów interpretacyjnych wynikających z rozdzielenia odpowiedzialności pomiędzy różne podmioty. Jednocześnie takie podejście wpływa na zwiększenie efektywności organizacyjnej i skrócenie czasu realizacji zamówienia poprzez ograniczenie konieczności koordynacji wielu wykonawców oraz uproszczenie zarządzania projektem.</w:t>
      </w:r>
    </w:p>
    <w:p w14:paraId="7058877B" w14:textId="77777777" w:rsidR="00E33096" w:rsidRPr="00E33096" w:rsidRDefault="00E33096" w:rsidP="00E33096">
      <w:pPr>
        <w:tabs>
          <w:tab w:val="left" w:pos="720"/>
        </w:tabs>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Bezpieczeństwo całego nowo tworzonego systemu zależy w dużej mierze od: prawidłowej konfiguracji, utrzymywania aktualnych polityk bezpieczeństwa, stosowania dobrych praktyk przez administratorów oraz reagowania na incydenty i błędy konfiguracyjne. Błędy ludzkie są jedną z najczęstszych przyczyn incydentów bezpieczeństwa w infrastrukturach </w:t>
      </w:r>
      <w:proofErr w:type="spellStart"/>
      <w:r w:rsidRPr="00E33096">
        <w:rPr>
          <w:rFonts w:ascii="Lato" w:eastAsia="Aptos" w:hAnsi="Lato" w:cs="Arial"/>
          <w:kern w:val="2"/>
          <w:sz w:val="22"/>
          <w:szCs w:val="22"/>
          <w14:ligatures w14:val="standardContextual"/>
        </w:rPr>
        <w:t>wirtualizacyjnych</w:t>
      </w:r>
      <w:proofErr w:type="spellEnd"/>
      <w:r w:rsidRPr="00E33096">
        <w:rPr>
          <w:rFonts w:ascii="Lato" w:eastAsia="Aptos" w:hAnsi="Lato" w:cs="Arial"/>
          <w:kern w:val="2"/>
          <w:sz w:val="22"/>
          <w:szCs w:val="22"/>
          <w14:ligatures w14:val="standardContextual"/>
        </w:rPr>
        <w:t>. Szkolenia odnoszące się do konkretnej, przygotowanej pod potrzeby Zamawiającego struktury informatyczno-sprzętowej minimalizują ryzyko wynikające z: nieprawidłowego zarządzania pamięcią masową, siecią wirtualną i zasobami obliczeniowymi, niewłaściwego stosowania mechanizmów wysokiej dostępności, niepoprawnej reakcji na awarie i zagrożenia atakami węzłów klastra. Brak przeszkolenia personelu prowadziłby do ryzyka niewłaściwego wykorzystania zakupionego sprzętu oraz powstania poważnych podatności bezpieczeństwa.</w:t>
      </w:r>
    </w:p>
    <w:p w14:paraId="0F5272EC"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Wdrożenie nowej infrastruktury serwerowej i </w:t>
      </w:r>
      <w:proofErr w:type="spellStart"/>
      <w:r w:rsidRPr="00E33096">
        <w:rPr>
          <w:rFonts w:ascii="Lato" w:eastAsia="Aptos" w:hAnsi="Lato" w:cs="Arial"/>
          <w:kern w:val="2"/>
          <w:sz w:val="22"/>
          <w:szCs w:val="22"/>
          <w14:ligatures w14:val="standardContextual"/>
        </w:rPr>
        <w:t>wirtualizacyjnej</w:t>
      </w:r>
      <w:proofErr w:type="spellEnd"/>
      <w:r w:rsidRPr="00E33096">
        <w:rPr>
          <w:rFonts w:ascii="Lato" w:eastAsia="Aptos" w:hAnsi="Lato" w:cs="Arial"/>
          <w:kern w:val="2"/>
          <w:sz w:val="22"/>
          <w:szCs w:val="22"/>
          <w14:ligatures w14:val="standardContextual"/>
        </w:rPr>
        <w:t xml:space="preserve"> powoduje konieczność ustalenia aktualnego poziomu zabezpieczeń oraz jego aktualizację, dostosowanie i doskonalenie procesów SZBI. Zgodnie z normą ISO 27001 organizacja Zamawiającego (przy udziale wybranego wykonawcy) musi: zapewnić odpowiednie kompetencje osób wpływających na bezpieczeństwo informacji, identyfikować i oceniać ryzyka związane z nowymi zasobami, aktualizować polityki bezpieczeństwa, procedury oraz rejestry ryzyka, przeprowadzać działania korygujące i prewencyjne wynikające z analizy ryzyka oraz audytów. Wszystko to musi być wykonane przez wykonawcę najlepiej znającego dostarczane rozwiązania sprzętowe i konfiguracyjne. Nieścisłości lub braki w dokumentacji SZBI czy SZCD mogą skutkować brakiem osiągniecia celu, jakim jest budowa jednego wysoko </w:t>
      </w:r>
      <w:r w:rsidRPr="00E33096">
        <w:rPr>
          <w:rFonts w:ascii="Lato" w:eastAsia="Aptos" w:hAnsi="Lato" w:cs="Arial"/>
          <w:kern w:val="2"/>
          <w:sz w:val="22"/>
          <w:szCs w:val="22"/>
          <w14:ligatures w14:val="standardContextual"/>
        </w:rPr>
        <w:lastRenderedPageBreak/>
        <w:t>zaawansowanego systemu bezpieczeństwa informatycznego. Bezpieczeństwo to jest szczególnie istotne ze względu na rodzaj działalności prowadzony przez Zamawiającego. Bez szkoleń oraz zaktualizowanych mechanizmów SZBI i SZCD wdrożenie klastra HA stanowiłoby lukę w systemie zarządzania bezpieczeństwem.</w:t>
      </w:r>
    </w:p>
    <w:p w14:paraId="690F7750"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Kompleksowa realizacja zamówienia sprzyja również optymalizacji kosztów, zarówno poprzez możliwość uzyskania korzystniejszych warunków finansowych wynikających z efektu skali, jak i ograniczenie kosztów związanych z obsługą wielu postępowań i umów. Dodatkowo jeden wykonawca ponosi pełną odpowiedzialność za osiągnięcie zakładanych rezultatów, w tym prawidłowe wdrożenie infrastruktury, zgodność dokumentacji SZBI i SZCD ze stanem faktycznym oraz skuteczność przeprowadzonych szkoleń, co eliminuje ryzyko przerzucania odpowiedzialności.</w:t>
      </w:r>
    </w:p>
    <w:p w14:paraId="11611F04"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Należy zauważyć, że powierzenie jednemu wykonawcy zarówno wdrożenia infrastruktury, jak </w:t>
      </w:r>
      <w:r w:rsidRPr="00E33096">
        <w:rPr>
          <w:rFonts w:ascii="Lato" w:eastAsia="Aptos" w:hAnsi="Lato" w:cs="Arial"/>
          <w:kern w:val="2"/>
          <w:sz w:val="22"/>
          <w:szCs w:val="22"/>
          <w14:ligatures w14:val="standardContextual"/>
        </w:rPr>
        <w:br/>
        <w:t xml:space="preserve">i opracowania, wdrożenia oraz audytu Systemu Zarządzania Bezpieczeństwem Informacji </w:t>
      </w:r>
      <w:r w:rsidRPr="00E33096">
        <w:rPr>
          <w:rFonts w:ascii="Lato" w:eastAsia="Aptos" w:hAnsi="Lato" w:cs="Arial"/>
          <w:kern w:val="2"/>
          <w:sz w:val="22"/>
          <w:szCs w:val="22"/>
          <w14:ligatures w14:val="standardContextual"/>
        </w:rPr>
        <w:br/>
        <w:t>i Systemu Zarządzania Ciągłością Działania zapewnia, że dokumentacja, procedury oraz polityki bezpieczeństwa będą w pełni odzwierciedlały rzeczywisty stan techniczny środowiska oraz zastosowane rozwiązania. Eliminuje to ryzyko rozbieżności pomiędzy dokumentacją a infrastrukturą, które często występuje przy realizacji zamówień przez wielu wykonawców.</w:t>
      </w:r>
    </w:p>
    <w:p w14:paraId="55EFA5F5" w14:textId="77777777" w:rsidR="00E33096" w:rsidRPr="00E33096" w:rsidRDefault="00E33096" w:rsidP="00E33096">
      <w:pPr>
        <w:tabs>
          <w:tab w:val="left" w:pos="0"/>
        </w:tabs>
        <w:spacing w:before="0" w:after="60" w:line="276" w:lineRule="auto"/>
        <w:rPr>
          <w:rFonts w:ascii="Lato" w:hAnsi="Lato"/>
          <w:sz w:val="22"/>
          <w:szCs w:val="22"/>
          <w:lang w:eastAsia="pl-PL"/>
        </w:rPr>
      </w:pPr>
      <w:r w:rsidRPr="00E33096">
        <w:rPr>
          <w:rFonts w:ascii="Lato" w:hAnsi="Lato"/>
          <w:sz w:val="22"/>
          <w:szCs w:val="22"/>
          <w:lang w:eastAsia="pl-PL"/>
        </w:rPr>
        <w:t xml:space="preserve">Zamawiane środowisko IT będzie objęte usługą gwarancyjną i serwisową producenta lub Wykonawcy całości dostawy. Taka usługa jest możliwa tylko </w:t>
      </w:r>
      <w:r w:rsidRPr="00E33096">
        <w:rPr>
          <w:rFonts w:ascii="Lato" w:hAnsi="Lato"/>
          <w:sz w:val="22"/>
          <w:szCs w:val="22"/>
          <w:lang w:eastAsia="pl-PL"/>
        </w:rPr>
        <w:br/>
        <w:t xml:space="preserve">w przypadku, gdy całość środowiska zostanie dostarczona jako jeden, spójny system spełniający wymagania certyfikacyjne producentów oprogramowania </w:t>
      </w:r>
      <w:r w:rsidRPr="00E33096">
        <w:rPr>
          <w:rFonts w:ascii="Lato" w:hAnsi="Lato"/>
          <w:sz w:val="22"/>
          <w:szCs w:val="22"/>
          <w:lang w:eastAsia="pl-PL"/>
        </w:rPr>
        <w:br/>
        <w:t>i sprzętu. Zakup poszczególnych elementów od różnych Wykonawców mógłby skutkować utratą prawa do wsparcia lub wydłużeniem procesu serwisowego.</w:t>
      </w:r>
    </w:p>
    <w:p w14:paraId="65BE891C" w14:textId="77777777" w:rsidR="00E33096" w:rsidRPr="00E33096" w:rsidRDefault="00E33096" w:rsidP="00E33096">
      <w:pPr>
        <w:tabs>
          <w:tab w:val="left" w:pos="0"/>
        </w:tabs>
        <w:spacing w:before="0" w:after="60" w:line="276" w:lineRule="auto"/>
        <w:rPr>
          <w:rFonts w:ascii="Lato" w:hAnsi="Lato"/>
          <w:sz w:val="22"/>
          <w:szCs w:val="22"/>
          <w:lang w:eastAsia="pl-PL"/>
        </w:rPr>
      </w:pPr>
      <w:r w:rsidRPr="00E33096">
        <w:rPr>
          <w:rFonts w:ascii="Lato" w:hAnsi="Lato"/>
          <w:sz w:val="22"/>
          <w:szCs w:val="22"/>
          <w:lang w:eastAsia="pl-PL"/>
        </w:rPr>
        <w:t>Dodatkowo udzielenie zamówienia jako całości umożliwia uzyskanie korzystniejszej ceny poprzez:</w:t>
      </w:r>
    </w:p>
    <w:p w14:paraId="599EE098" w14:textId="77777777" w:rsidR="00E33096" w:rsidRPr="00E33096" w:rsidRDefault="00E33096" w:rsidP="00E33096">
      <w:pPr>
        <w:numPr>
          <w:ilvl w:val="0"/>
          <w:numId w:val="20"/>
        </w:numPr>
        <w:spacing w:before="0" w:after="60" w:line="276" w:lineRule="auto"/>
        <w:ind w:left="284" w:hanging="284"/>
        <w:rPr>
          <w:rFonts w:ascii="Lato" w:hAnsi="Lato"/>
          <w:sz w:val="22"/>
          <w:szCs w:val="22"/>
          <w:lang w:eastAsia="pl-PL"/>
        </w:rPr>
      </w:pPr>
      <w:r w:rsidRPr="00E33096">
        <w:rPr>
          <w:rFonts w:ascii="Lato" w:hAnsi="Lato"/>
          <w:sz w:val="22"/>
          <w:szCs w:val="22"/>
          <w:lang w:eastAsia="pl-PL"/>
        </w:rPr>
        <w:t>efekt synergii,</w:t>
      </w:r>
    </w:p>
    <w:p w14:paraId="3F1B16DD" w14:textId="77777777" w:rsidR="00E33096" w:rsidRPr="00E33096" w:rsidRDefault="00E33096" w:rsidP="00E33096">
      <w:pPr>
        <w:numPr>
          <w:ilvl w:val="0"/>
          <w:numId w:val="20"/>
        </w:numPr>
        <w:spacing w:before="0" w:after="60" w:line="276" w:lineRule="auto"/>
        <w:ind w:left="284" w:hanging="284"/>
        <w:rPr>
          <w:rFonts w:ascii="Lato" w:hAnsi="Lato"/>
          <w:sz w:val="22"/>
          <w:szCs w:val="22"/>
          <w:lang w:eastAsia="pl-PL"/>
        </w:rPr>
      </w:pPr>
      <w:r w:rsidRPr="00E33096">
        <w:rPr>
          <w:rFonts w:ascii="Lato" w:hAnsi="Lato"/>
          <w:sz w:val="22"/>
          <w:szCs w:val="22"/>
          <w:lang w:eastAsia="pl-PL"/>
        </w:rPr>
        <w:t xml:space="preserve">możliwość uzyskania rabatów przy zakupie kompletnych zestawów wraz </w:t>
      </w:r>
      <w:r w:rsidRPr="00E33096">
        <w:rPr>
          <w:rFonts w:ascii="Lato" w:hAnsi="Lato"/>
          <w:sz w:val="22"/>
          <w:szCs w:val="22"/>
          <w:lang w:eastAsia="pl-PL"/>
        </w:rPr>
        <w:br/>
        <w:t>z integralnymi usługami,</w:t>
      </w:r>
    </w:p>
    <w:p w14:paraId="0D48E87E" w14:textId="77777777" w:rsidR="00E33096" w:rsidRPr="00E33096" w:rsidRDefault="00E33096" w:rsidP="00E33096">
      <w:pPr>
        <w:numPr>
          <w:ilvl w:val="0"/>
          <w:numId w:val="20"/>
        </w:numPr>
        <w:spacing w:before="0" w:after="60" w:line="276" w:lineRule="auto"/>
        <w:ind w:left="284" w:hanging="284"/>
        <w:rPr>
          <w:rFonts w:ascii="Lato" w:hAnsi="Lato"/>
          <w:sz w:val="22"/>
          <w:szCs w:val="22"/>
          <w:lang w:eastAsia="pl-PL"/>
        </w:rPr>
      </w:pPr>
      <w:r w:rsidRPr="00E33096">
        <w:rPr>
          <w:rFonts w:ascii="Lato" w:hAnsi="Lato"/>
          <w:sz w:val="22"/>
          <w:szCs w:val="22"/>
          <w:lang w:eastAsia="pl-PL"/>
        </w:rPr>
        <w:t>zmniejszenie kosztów logistycznych i integracyjnych.</w:t>
      </w:r>
    </w:p>
    <w:p w14:paraId="410BD2D6" w14:textId="77777777" w:rsidR="00E33096"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Równie istotnym elementem jest powiązanie części sprzętowej i szkoleniowej z faktycznie wdrożonymi rozwiązaniami technicznymi i organizacyjnymi. Jeden wykonawca, posiadający pełną wiedzę o zastosowanej architekturze, konfiguracji systemów oraz przyjętych procedurach, jest w stanie przeprowadzić szkolenia w sposób praktyczny, dopasowany do specyfiki środowiska Zamawiającego oraz standardami zarządzania bezpieczeństwem informacji, w szczególności normą ISO/IEC 27001, co znacząco zwiększa efektywność i realny wpływ na poziom </w:t>
      </w:r>
      <w:proofErr w:type="spellStart"/>
      <w:r w:rsidRPr="00E33096">
        <w:rPr>
          <w:rFonts w:ascii="Lato" w:eastAsia="Aptos" w:hAnsi="Lato" w:cs="Arial"/>
          <w:kern w:val="2"/>
          <w:sz w:val="22"/>
          <w:szCs w:val="22"/>
          <w14:ligatures w14:val="standardContextual"/>
        </w:rPr>
        <w:t>cyberodporności</w:t>
      </w:r>
      <w:proofErr w:type="spellEnd"/>
      <w:r w:rsidRPr="00E33096">
        <w:rPr>
          <w:rFonts w:ascii="Lato" w:eastAsia="Aptos" w:hAnsi="Lato" w:cs="Arial"/>
          <w:kern w:val="2"/>
          <w:sz w:val="22"/>
          <w:szCs w:val="22"/>
          <w14:ligatures w14:val="standardContextual"/>
        </w:rPr>
        <w:t xml:space="preserve"> organizacji Zamawiającego.</w:t>
      </w:r>
    </w:p>
    <w:p w14:paraId="6D099571" w14:textId="7CD7629A" w:rsidR="000A73E2" w:rsidRPr="00E33096" w:rsidRDefault="00E33096" w:rsidP="00E33096">
      <w:pPr>
        <w:spacing w:before="0" w:after="60" w:line="276" w:lineRule="auto"/>
        <w:rPr>
          <w:rFonts w:ascii="Lato" w:eastAsia="Aptos" w:hAnsi="Lato" w:cs="Arial"/>
          <w:kern w:val="2"/>
          <w:sz w:val="22"/>
          <w:szCs w:val="22"/>
          <w14:ligatures w14:val="standardContextual"/>
        </w:rPr>
      </w:pPr>
      <w:r w:rsidRPr="00E33096">
        <w:rPr>
          <w:rFonts w:ascii="Lato" w:eastAsia="Aptos" w:hAnsi="Lato" w:cs="Arial"/>
          <w:kern w:val="2"/>
          <w:sz w:val="22"/>
          <w:szCs w:val="22"/>
          <w14:ligatures w14:val="standardContextual"/>
        </w:rPr>
        <w:t xml:space="preserve">Mając powyższe na uwadze, należy stwierdzić, że wszystkie elementy zamówienia tworzą nierozerwalną całość funkcjonalną, a ich rozdzielenie byłoby niecelowe i mogłoby negatywnie wpłynąć na osiągnięcie celów projektu, jakim jest kompleksowe wzmocnienie </w:t>
      </w:r>
      <w:proofErr w:type="spellStart"/>
      <w:r w:rsidRPr="00E33096">
        <w:rPr>
          <w:rFonts w:ascii="Lato" w:eastAsia="Aptos" w:hAnsi="Lato" w:cs="Arial"/>
          <w:kern w:val="2"/>
          <w:sz w:val="22"/>
          <w:szCs w:val="22"/>
          <w14:ligatures w14:val="standardContextual"/>
        </w:rPr>
        <w:t>cyberodporności</w:t>
      </w:r>
      <w:proofErr w:type="spellEnd"/>
      <w:r w:rsidRPr="00E33096">
        <w:rPr>
          <w:rFonts w:ascii="Lato" w:eastAsia="Aptos" w:hAnsi="Lato" w:cs="Arial"/>
          <w:kern w:val="2"/>
          <w:sz w:val="22"/>
          <w:szCs w:val="22"/>
          <w14:ligatures w14:val="standardContextual"/>
        </w:rPr>
        <w:t xml:space="preserve"> oraz zapewnienie ciągłości działania przedsiębiorstwa. W związku z tym należy uznać, że przeprowadzenie jednego postępowania i powierzenie realizacji całego zakresu jednemu wykonawcy jest w pełni uzasadnione.</w:t>
      </w:r>
    </w:p>
    <w:sectPr w:rsidR="000A73E2" w:rsidRPr="00E33096"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614D8" w14:textId="77777777" w:rsidR="00205546" w:rsidRDefault="00205546">
      <w:r>
        <w:separator/>
      </w:r>
    </w:p>
  </w:endnote>
  <w:endnote w:type="continuationSeparator" w:id="0">
    <w:p w14:paraId="6C06E4FF" w14:textId="77777777" w:rsidR="00205546" w:rsidRDefault="0020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ato">
    <w:altName w:val="Lato"/>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773B05E2" w:rsidR="00C24F21" w:rsidRPr="00E33096" w:rsidRDefault="00E33096" w:rsidP="00CA518A">
    <w:pPr>
      <w:pStyle w:val="Stopka"/>
      <w:tabs>
        <w:tab w:val="right" w:pos="9720"/>
      </w:tabs>
      <w:jc w:val="center"/>
      <w:rPr>
        <w:rFonts w:cs="Calibri"/>
        <w:color w:val="646464"/>
        <w:sz w:val="10"/>
        <w:szCs w:val="10"/>
      </w:rPr>
    </w:pPr>
    <w:r>
      <w:rPr>
        <w:noProof/>
      </w:rPr>
      <mc:AlternateContent>
        <mc:Choice Requires="wps">
          <w:drawing>
            <wp:anchor distT="0" distB="0" distL="114300" distR="114300" simplePos="0" relativeHeight="251660800" behindDoc="0" locked="0" layoutInCell="0" allowOverlap="1" wp14:anchorId="649C4AF3" wp14:editId="49AABBF9">
              <wp:simplePos x="0" y="0"/>
              <wp:positionH relativeFrom="rightMargin">
                <wp:posOffset>-78105</wp:posOffset>
              </wp:positionH>
              <wp:positionV relativeFrom="page">
                <wp:posOffset>9756140</wp:posOffset>
              </wp:positionV>
              <wp:extent cx="762000" cy="895350"/>
              <wp:effectExtent l="0" t="0" r="0" b="0"/>
              <wp:wrapNone/>
              <wp:docPr id="942005869"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rPr>
                            <w:id w:val="-1807150379"/>
                            <w:docPartObj>
                              <w:docPartGallery w:val="Page Numbers (Margins)"/>
                              <w:docPartUnique/>
                            </w:docPartObj>
                          </w:sdtPr>
                          <w:sdtContent>
                            <w:p w14:paraId="5AF43327" w14:textId="77777777" w:rsidR="00E33096" w:rsidRPr="00E33096" w:rsidRDefault="00E33096">
                              <w:pPr>
                                <w:jc w:val="center"/>
                                <w:rPr>
                                  <w:rFonts w:asciiTheme="majorHAnsi" w:eastAsiaTheme="majorEastAsia" w:hAnsiTheme="majorHAnsi" w:cstheme="majorBidi"/>
                                  <w:sz w:val="36"/>
                                  <w:szCs w:val="36"/>
                                </w:rPr>
                              </w:pPr>
                              <w:r w:rsidRPr="00E33096">
                                <w:rPr>
                                  <w:rFonts w:asciiTheme="minorHAnsi" w:eastAsiaTheme="minorEastAsia" w:hAnsiTheme="minorHAnsi"/>
                                  <w:sz w:val="10"/>
                                  <w:szCs w:val="10"/>
                                </w:rPr>
                                <w:fldChar w:fldCharType="begin"/>
                              </w:r>
                              <w:r w:rsidRPr="00E33096">
                                <w:rPr>
                                  <w:sz w:val="12"/>
                                  <w:szCs w:val="12"/>
                                </w:rPr>
                                <w:instrText>PAGE  \* MERGEFORMAT</w:instrText>
                              </w:r>
                              <w:r w:rsidRPr="00E33096">
                                <w:rPr>
                                  <w:rFonts w:asciiTheme="minorHAnsi" w:eastAsiaTheme="minorEastAsia" w:hAnsiTheme="minorHAnsi"/>
                                  <w:sz w:val="10"/>
                                  <w:szCs w:val="10"/>
                                </w:rPr>
                                <w:fldChar w:fldCharType="separate"/>
                              </w:r>
                              <w:r w:rsidRPr="00E33096">
                                <w:rPr>
                                  <w:rFonts w:asciiTheme="majorHAnsi" w:eastAsiaTheme="majorEastAsia" w:hAnsiTheme="majorHAnsi" w:cstheme="majorBidi"/>
                                </w:rPr>
                                <w:t>2</w:t>
                              </w:r>
                              <w:r w:rsidRPr="00E33096">
                                <w:rPr>
                                  <w:rFonts w:asciiTheme="majorHAnsi" w:eastAsiaTheme="majorEastAsia" w:hAnsiTheme="majorHAnsi" w:cstheme="majorBidi"/>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9C4AF3" id="Prostokąt 2" o:spid="_x0000_s1026" style="position:absolute;left:0;text-align:left;margin-left:-6.15pt;margin-top:768.2pt;width:60pt;height:70.5pt;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" o:allowincell="f" stroked="f">
              <v:textbox>
                <w:txbxContent>
                  <w:sdt>
                    <w:sdtPr>
                      <w:rPr>
                        <w:rFonts w:asciiTheme="majorHAnsi" w:eastAsiaTheme="majorEastAsia" w:hAnsiTheme="majorHAnsi" w:cstheme="majorBidi"/>
                      </w:rPr>
                      <w:id w:val="-1807150379"/>
                      <w:docPartObj>
                        <w:docPartGallery w:val="Page Numbers (Margins)"/>
                        <w:docPartUnique/>
                      </w:docPartObj>
                    </w:sdtPr>
                    <w:sdtContent>
                      <w:p w14:paraId="5AF43327" w14:textId="77777777" w:rsidR="00E33096" w:rsidRPr="00E33096" w:rsidRDefault="00E33096">
                        <w:pPr>
                          <w:jc w:val="center"/>
                          <w:rPr>
                            <w:rFonts w:asciiTheme="majorHAnsi" w:eastAsiaTheme="majorEastAsia" w:hAnsiTheme="majorHAnsi" w:cstheme="majorBidi"/>
                            <w:sz w:val="36"/>
                            <w:szCs w:val="36"/>
                          </w:rPr>
                        </w:pPr>
                        <w:r w:rsidRPr="00E33096">
                          <w:rPr>
                            <w:rFonts w:asciiTheme="minorHAnsi" w:eastAsiaTheme="minorEastAsia" w:hAnsiTheme="minorHAnsi"/>
                            <w:sz w:val="10"/>
                            <w:szCs w:val="10"/>
                          </w:rPr>
                          <w:fldChar w:fldCharType="begin"/>
                        </w:r>
                        <w:r w:rsidRPr="00E33096">
                          <w:rPr>
                            <w:sz w:val="12"/>
                            <w:szCs w:val="12"/>
                          </w:rPr>
                          <w:instrText>PAGE  \* MERGEFORMAT</w:instrText>
                        </w:r>
                        <w:r w:rsidRPr="00E33096">
                          <w:rPr>
                            <w:rFonts w:asciiTheme="minorHAnsi" w:eastAsiaTheme="minorEastAsia" w:hAnsiTheme="minorHAnsi"/>
                            <w:sz w:val="10"/>
                            <w:szCs w:val="10"/>
                          </w:rPr>
                          <w:fldChar w:fldCharType="separate"/>
                        </w:r>
                        <w:r w:rsidRPr="00E33096">
                          <w:rPr>
                            <w:rFonts w:asciiTheme="majorHAnsi" w:eastAsiaTheme="majorEastAsia" w:hAnsiTheme="majorHAnsi" w:cstheme="majorBidi"/>
                          </w:rPr>
                          <w:t>2</w:t>
                        </w:r>
                        <w:r w:rsidRPr="00E33096">
                          <w:rPr>
                            <w:rFonts w:asciiTheme="majorHAnsi" w:eastAsiaTheme="majorEastAsia" w:hAnsiTheme="majorHAnsi" w:cstheme="majorBidi"/>
                          </w:rPr>
                          <w:fldChar w:fldCharType="end"/>
                        </w:r>
                      </w:p>
                    </w:sdtContent>
                  </w:sdt>
                </w:txbxContent>
              </v:textbox>
              <w10:wrap anchorx="margin" anchory="page"/>
            </v:rect>
          </w:pict>
        </mc:Fallback>
      </mc:AlternateContent>
    </w:r>
    <w:r w:rsidR="00C41A18" w:rsidRPr="00E33096">
      <w:rPr>
        <w:rFonts w:cs="Calibr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4D48C25B" w:rsidR="00760990" w:rsidRPr="00E33096" w:rsidRDefault="00A25198" w:rsidP="00A25198">
    <w:pPr>
      <w:pStyle w:val="Stopka"/>
      <w:tabs>
        <w:tab w:val="right" w:pos="9720"/>
      </w:tabs>
      <w:rPr>
        <w:rFonts w:cs="Calibri"/>
        <w:color w:val="646464"/>
        <w:sz w:val="10"/>
        <w:szCs w:val="10"/>
      </w:rPr>
    </w:pPr>
    <w:r w:rsidRPr="00E33096">
      <w:rPr>
        <w:rFonts w:cs="Calibr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E33096">
      <w:rPr>
        <w:rFonts w:cs="Calibri"/>
        <w:color w:val="646464"/>
        <w:sz w:val="10"/>
        <w:szCs w:val="10"/>
      </w:rPr>
      <w:t xml:space="preserve">CENTRUM PROJEKTÓW POLSKA CYFROWA </w:t>
    </w:r>
    <w:r w:rsidRPr="00E33096">
      <w:rPr>
        <w:rFonts w:cs="Calibri"/>
        <w:color w:val="646464"/>
        <w:sz w:val="10"/>
        <w:szCs w:val="10"/>
      </w:rPr>
      <w:br/>
      <w:t>ul. Spokojna 13A, 01-044 Warszawa | infolinia: +48 223152340 | e-mail: cppc@cppc.gov.pl</w:t>
    </w:r>
    <w:r w:rsidR="00E33096" w:rsidRPr="00E33096">
      <w:rPr>
        <w:rFonts w:cs="Calibri"/>
        <w:noProof/>
        <w:sz w:val="10"/>
        <w:szCs w:val="10"/>
      </w:rPr>
      <w:drawing>
        <wp:anchor distT="0" distB="0" distL="114300" distR="114300" simplePos="0" relativeHeight="251658752" behindDoc="1" locked="0" layoutInCell="0" allowOverlap="1" wp14:anchorId="323B3CE1" wp14:editId="5AC18644">
          <wp:simplePos x="0" y="0"/>
          <wp:positionH relativeFrom="margin">
            <wp:posOffset>-768350</wp:posOffset>
          </wp:positionH>
          <wp:positionV relativeFrom="margin">
            <wp:posOffset>6109335</wp:posOffset>
          </wp:positionV>
          <wp:extent cx="6120130" cy="2679065"/>
          <wp:effectExtent l="0" t="0" r="0" b="6985"/>
          <wp:wrapNone/>
          <wp:docPr id="16559159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6E54B" w14:textId="77777777" w:rsidR="00205546" w:rsidRDefault="00205546">
      <w:r>
        <w:separator/>
      </w:r>
    </w:p>
  </w:footnote>
  <w:footnote w:type="continuationSeparator" w:id="0">
    <w:p w14:paraId="2FE0C526" w14:textId="77777777" w:rsidR="00205546" w:rsidRDefault="00205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54D129BC" w:rsidR="00C41A18" w:rsidRDefault="00E33096">
    <w:pPr>
      <w:pStyle w:val="Nagwek"/>
    </w:pPr>
    <w:sdt>
      <w:sdtPr>
        <w:id w:val="-998880322"/>
        <w:docPartObj>
          <w:docPartGallery w:val="Page Numbers (Margins)"/>
          <w:docPartUnique/>
        </w:docPartObj>
      </w:sdtPr>
      <w:sdtContent/>
    </w:sdt>
    <w:r w:rsidR="00CA518A" w:rsidRPr="00E33096">
      <w:rPr>
        <w:rFonts w:cs="Calibr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r>
      <w:tab/>
    </w:r>
    <w:r>
      <w:tab/>
      <w:t>Załącznik nr 11 do SWZ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972A7A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6"/>
    <w:multiLevelType w:val="multilevel"/>
    <w:tmpl w:val="C1F687D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0000008"/>
    <w:multiLevelType w:val="multilevel"/>
    <w:tmpl w:val="FF1C5CD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6"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7"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0"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3"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2"/>
  </w:num>
  <w:num w:numId="4" w16cid:durableId="907615826">
    <w:abstractNumId w:val="9"/>
  </w:num>
  <w:num w:numId="5" w16cid:durableId="397635744">
    <w:abstractNumId w:val="18"/>
  </w:num>
  <w:num w:numId="6" w16cid:durableId="1648318210">
    <w:abstractNumId w:val="16"/>
  </w:num>
  <w:num w:numId="7" w16cid:durableId="331833269">
    <w:abstractNumId w:val="17"/>
  </w:num>
  <w:num w:numId="8" w16cid:durableId="162362834">
    <w:abstractNumId w:val="3"/>
  </w:num>
  <w:num w:numId="9" w16cid:durableId="493955748">
    <w:abstractNumId w:val="4"/>
  </w:num>
  <w:num w:numId="10" w16cid:durableId="1613436086">
    <w:abstractNumId w:val="15"/>
  </w:num>
  <w:num w:numId="11" w16cid:durableId="7873616">
    <w:abstractNumId w:val="11"/>
  </w:num>
  <w:num w:numId="12" w16cid:durableId="1726102718">
    <w:abstractNumId w:val="19"/>
  </w:num>
  <w:num w:numId="13" w16cid:durableId="333580693">
    <w:abstractNumId w:val="14"/>
  </w:num>
  <w:num w:numId="14" w16cid:durableId="1335911795">
    <w:abstractNumId w:val="10"/>
  </w:num>
  <w:num w:numId="15" w16cid:durableId="736320308">
    <w:abstractNumId w:val="8"/>
  </w:num>
  <w:num w:numId="16" w16cid:durableId="1160580737">
    <w:abstractNumId w:val="7"/>
  </w:num>
  <w:num w:numId="17" w16cid:durableId="1300263558">
    <w:abstractNumId w:val="13"/>
  </w:num>
  <w:num w:numId="18" w16cid:durableId="1074475133">
    <w:abstractNumId w:val="0"/>
  </w:num>
  <w:num w:numId="19" w16cid:durableId="2139907365">
    <w:abstractNumId w:val="1"/>
  </w:num>
  <w:num w:numId="20" w16cid:durableId="7404427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603C"/>
    <w:rsid w:val="00065C40"/>
    <w:rsid w:val="00094EF6"/>
    <w:rsid w:val="000A73E2"/>
    <w:rsid w:val="000E21EF"/>
    <w:rsid w:val="0010162A"/>
    <w:rsid w:val="001561C5"/>
    <w:rsid w:val="00205546"/>
    <w:rsid w:val="00214307"/>
    <w:rsid w:val="002571F6"/>
    <w:rsid w:val="002B08FC"/>
    <w:rsid w:val="002B40F4"/>
    <w:rsid w:val="002D66BB"/>
    <w:rsid w:val="002E6BDD"/>
    <w:rsid w:val="002F66E8"/>
    <w:rsid w:val="00310274"/>
    <w:rsid w:val="003134FE"/>
    <w:rsid w:val="003165EB"/>
    <w:rsid w:val="003816DA"/>
    <w:rsid w:val="00385FFB"/>
    <w:rsid w:val="00412555"/>
    <w:rsid w:val="00482EA3"/>
    <w:rsid w:val="004844AD"/>
    <w:rsid w:val="004E62F6"/>
    <w:rsid w:val="005115C2"/>
    <w:rsid w:val="005A056A"/>
    <w:rsid w:val="005B7917"/>
    <w:rsid w:val="005E22E2"/>
    <w:rsid w:val="00670180"/>
    <w:rsid w:val="006760F1"/>
    <w:rsid w:val="006D19B4"/>
    <w:rsid w:val="006E040C"/>
    <w:rsid w:val="007021C9"/>
    <w:rsid w:val="007077F2"/>
    <w:rsid w:val="00735813"/>
    <w:rsid w:val="00760990"/>
    <w:rsid w:val="00761B48"/>
    <w:rsid w:val="00780D75"/>
    <w:rsid w:val="00863D3F"/>
    <w:rsid w:val="0088784C"/>
    <w:rsid w:val="008C4DE6"/>
    <w:rsid w:val="008D7C6A"/>
    <w:rsid w:val="00924460"/>
    <w:rsid w:val="009A5797"/>
    <w:rsid w:val="009B56F9"/>
    <w:rsid w:val="009B7B29"/>
    <w:rsid w:val="00A228FA"/>
    <w:rsid w:val="00A25198"/>
    <w:rsid w:val="00A27692"/>
    <w:rsid w:val="00A34049"/>
    <w:rsid w:val="00A40375"/>
    <w:rsid w:val="00A42564"/>
    <w:rsid w:val="00A834F4"/>
    <w:rsid w:val="00A8394D"/>
    <w:rsid w:val="00A955D5"/>
    <w:rsid w:val="00A97B93"/>
    <w:rsid w:val="00AD274B"/>
    <w:rsid w:val="00AE404F"/>
    <w:rsid w:val="00AF3CB9"/>
    <w:rsid w:val="00AF4EB4"/>
    <w:rsid w:val="00B066B2"/>
    <w:rsid w:val="00B371AE"/>
    <w:rsid w:val="00B37C91"/>
    <w:rsid w:val="00B546E9"/>
    <w:rsid w:val="00B615FE"/>
    <w:rsid w:val="00B619ED"/>
    <w:rsid w:val="00B82EF6"/>
    <w:rsid w:val="00BC79CC"/>
    <w:rsid w:val="00C06AC7"/>
    <w:rsid w:val="00C0733F"/>
    <w:rsid w:val="00C13123"/>
    <w:rsid w:val="00C14A13"/>
    <w:rsid w:val="00C24F21"/>
    <w:rsid w:val="00C3461A"/>
    <w:rsid w:val="00C41A18"/>
    <w:rsid w:val="00C6529D"/>
    <w:rsid w:val="00C965EE"/>
    <w:rsid w:val="00CA4211"/>
    <w:rsid w:val="00CA518A"/>
    <w:rsid w:val="00CB53C1"/>
    <w:rsid w:val="00CC431D"/>
    <w:rsid w:val="00CF1AB9"/>
    <w:rsid w:val="00DB563C"/>
    <w:rsid w:val="00DC0C56"/>
    <w:rsid w:val="00DD59C4"/>
    <w:rsid w:val="00E1663C"/>
    <w:rsid w:val="00E33096"/>
    <w:rsid w:val="00E81AAD"/>
    <w:rsid w:val="00EA5546"/>
    <w:rsid w:val="00EB7791"/>
    <w:rsid w:val="00EE312E"/>
    <w:rsid w:val="00F6134F"/>
    <w:rsid w:val="00F753C2"/>
    <w:rsid w:val="00F8620F"/>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4.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1886</Words>
  <Characters>11318</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Bartosz Cieśla</cp:lastModifiedBy>
  <cp:revision>2</cp:revision>
  <cp:lastPrinted>2018-03-26T09:55:00Z</cp:lastPrinted>
  <dcterms:created xsi:type="dcterms:W3CDTF">2026-04-14T10:30:00Z</dcterms:created>
  <dcterms:modified xsi:type="dcterms:W3CDTF">2026-04-14T10:30:00Z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